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98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960"/>
        <w:gridCol w:w="1170"/>
        <w:gridCol w:w="3510"/>
        <w:gridCol w:w="1194"/>
      </w:tblGrid>
      <w:tr>
        <w:trPr>
          <w:trHeight w:val="330" w:hRule="atLeast"/>
          <w:jc w:val="center"/>
        </w:trPr>
        <w:tc>
          <w:tcPr>
            <w:tcW w:type="dxa" w:w="9810"/>
            <w:gridSpan w:val="4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br w:type="page"/>
            </w:r>
            <w:bookmarkStart w:id="2" w:name="RANGE!A1:D43"/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Financial Disbursement to Manufacturing Industries (GFCF)</w:t>
            </w:r>
            <w:bookmarkEnd w:id="2"/>
          </w:p>
        </w:tc>
      </w:tr>
      <w:tr>
        <w:trPr>
          <w:trHeight w:val="300" w:hRule="atLeast"/>
          <w:jc w:val="center"/>
        </w:trPr>
        <w:tc>
          <w:tcPr>
            <w:tcW w:type="dxa" w:w="9810"/>
            <w:gridSpan w:val="4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Name and Address of Financial Institution / Bank :__________________________</w:t>
            </w:r>
          </w:p>
        </w:tc>
      </w:tr>
      <w:tr>
        <w:trPr>
          <w:trHeight w:val="360" w:hRule="atLeast"/>
          <w:jc w:val="center"/>
        </w:trPr>
        <w:tc>
          <w:tcPr>
            <w:tcW w:type="dxa" w:w="9810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fill="auto" w:color="auto" w:val="clear"/>
            <w:noWrap/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Quarterly data for the 202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-2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Revised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), 202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-2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6</w:t>
            </w:r>
            <w:bookmarkStart w:id="3" w:name="_GoBack"/>
            <w:bookmarkEnd w:id="3"/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Provisional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)</w:t>
            </w:r>
          </w:p>
        </w:tc>
      </w:tr>
      <w:tr>
        <w:trPr>
          <w:trHeight w:val="315" w:hRule="atLeast"/>
          <w:jc w:val="center"/>
        </w:trPr>
        <w:tc>
          <w:tcPr>
            <w:tcW w:type="dxa" w:w="396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Industrial Group</w:t>
            </w:r>
          </w:p>
        </w:tc>
        <w:tc>
          <w:tcPr>
            <w:tcW w:type="dxa" w:w="5850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New Units</w:t>
            </w:r>
          </w:p>
        </w:tc>
      </w:tr>
      <w:tr>
        <w:trPr>
          <w:trHeight w:val="300" w:hRule="atLeast"/>
          <w:jc w:val="center"/>
        </w:trPr>
        <w:tc>
          <w:tcPr>
            <w:tcW w:type="dxa" w:w="5130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(Please pick the code given at the lower portion of the page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)</w:t>
            </w:r>
          </w:p>
        </w:tc>
        <w:tc>
          <w:tcPr>
            <w:tcW w:type="dxa" w:w="4680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New Capacity E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xpansion /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Under Construction)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(Amount disbursed)</w:t>
            </w:r>
          </w:p>
        </w:tc>
      </w:tr>
      <w:tr>
        <w:trPr>
          <w:trHeight w:val="253" w:hRule="atLeast"/>
          <w:jc w:val="center"/>
        </w:trPr>
        <w:tc>
          <w:tcPr>
            <w:tcW w:type="dxa" w:w="5130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</w:p>
        </w:tc>
        <w:tc>
          <w:tcPr>
            <w:tcW w:type="dxa" w:w="4680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type="dxa" w:w="396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Quarter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Code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(PSIC-2010)</w:t>
            </w:r>
          </w:p>
        </w:tc>
        <w:tc>
          <w:tcPr>
            <w:tcW w:type="dxa" w:w="35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(In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Local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 Currency)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(in “000” Rs.)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(In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Foreign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 Currency)</w:t>
            </w:r>
          </w:p>
        </w:tc>
      </w:tr>
      <w:tr>
        <w:trPr>
          <w:trHeight w:val="300" w:hRule="atLeast"/>
          <w:jc w:val="center"/>
        </w:trPr>
        <w:tc>
          <w:tcPr>
            <w:tcW w:type="dxa" w:w="3960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2"/>
              </w:rPr>
              <w:t xml:space="preserve">Q-1 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Jul-Sep.(Year____  )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 </w:t>
            </w:r>
          </w:p>
        </w:tc>
        <w:tc>
          <w:tcPr>
            <w:tcW w:type="dxa" w:w="35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</w:p>
        </w:tc>
      </w:tr>
      <w:tr>
        <w:trPr>
          <w:trHeight w:val="233" w:hRule="atLeast"/>
          <w:jc w:val="center"/>
        </w:trPr>
        <w:tc>
          <w:tcPr>
            <w:tcW w:type="dxa" w:w="3960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 </w:t>
            </w:r>
          </w:p>
        </w:tc>
        <w:tc>
          <w:tcPr>
            <w:tcW w:type="dxa" w:w="35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</w:p>
        </w:tc>
      </w:tr>
      <w:tr>
        <w:trPr>
          <w:trHeight w:val="300" w:hRule="atLeast"/>
          <w:jc w:val="center"/>
        </w:trPr>
        <w:tc>
          <w:tcPr>
            <w:tcW w:type="dxa" w:w="3960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 </w:t>
            </w:r>
          </w:p>
        </w:tc>
        <w:tc>
          <w:tcPr>
            <w:tcW w:type="dxa" w:w="35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</w:p>
        </w:tc>
      </w:tr>
      <w:tr>
        <w:trPr>
          <w:trHeight w:val="197" w:hRule="atLeast"/>
          <w:jc w:val="center"/>
        </w:trPr>
        <w:tc>
          <w:tcPr>
            <w:tcW w:type="dxa" w:w="3960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 </w:t>
            </w:r>
          </w:p>
        </w:tc>
        <w:tc>
          <w:tcPr>
            <w:tcW w:type="dxa" w:w="35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</w:p>
        </w:tc>
      </w:tr>
      <w:tr>
        <w:trPr>
          <w:trHeight w:val="206" w:hRule="atLeast"/>
          <w:jc w:val="center"/>
        </w:trPr>
        <w:tc>
          <w:tcPr>
            <w:tcW w:type="dxa" w:w="3960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2"/>
              </w:rPr>
              <w:t xml:space="preserve">Q-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2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Oct-Dec (Year_____   )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 </w:t>
            </w:r>
          </w:p>
        </w:tc>
        <w:tc>
          <w:tcPr>
            <w:tcW w:type="dxa" w:w="35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</w:p>
        </w:tc>
      </w:tr>
      <w:tr>
        <w:trPr>
          <w:trHeight w:val="300" w:hRule="atLeast"/>
          <w:jc w:val="center"/>
        </w:trPr>
        <w:tc>
          <w:tcPr>
            <w:tcW w:type="dxa" w:w="3960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 </w:t>
            </w:r>
          </w:p>
        </w:tc>
        <w:tc>
          <w:tcPr>
            <w:tcW w:type="dxa" w:w="35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</w:p>
        </w:tc>
      </w:tr>
      <w:tr>
        <w:trPr>
          <w:trHeight w:val="170" w:hRule="atLeast"/>
          <w:jc w:val="center"/>
        </w:trPr>
        <w:tc>
          <w:tcPr>
            <w:tcW w:type="dxa" w:w="3960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 </w:t>
            </w:r>
          </w:p>
        </w:tc>
        <w:tc>
          <w:tcPr>
            <w:tcW w:type="dxa" w:w="35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</w:p>
        </w:tc>
      </w:tr>
      <w:tr>
        <w:trPr>
          <w:trHeight w:val="300" w:hRule="atLeast"/>
          <w:jc w:val="center"/>
        </w:trPr>
        <w:tc>
          <w:tcPr>
            <w:tcW w:type="dxa" w:w="3960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 </w:t>
            </w:r>
          </w:p>
        </w:tc>
        <w:tc>
          <w:tcPr>
            <w:tcW w:type="dxa" w:w="35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</w:p>
        </w:tc>
      </w:tr>
      <w:tr>
        <w:trPr>
          <w:trHeight w:val="300" w:hRule="atLeast"/>
          <w:jc w:val="center"/>
        </w:trPr>
        <w:tc>
          <w:tcPr>
            <w:tcW w:type="dxa" w:w="3960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2"/>
              </w:rPr>
              <w:t xml:space="preserve">Q-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2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2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Jan-Mar (Year_______   )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 </w:t>
            </w:r>
          </w:p>
        </w:tc>
        <w:tc>
          <w:tcPr>
            <w:tcW w:type="dxa" w:w="35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</w:p>
        </w:tc>
      </w:tr>
      <w:tr>
        <w:trPr>
          <w:trHeight w:val="300" w:hRule="atLeast"/>
          <w:jc w:val="center"/>
        </w:trPr>
        <w:tc>
          <w:tcPr>
            <w:tcW w:type="dxa" w:w="3960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 </w:t>
            </w:r>
          </w:p>
        </w:tc>
        <w:tc>
          <w:tcPr>
            <w:tcW w:type="dxa" w:w="35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</w:p>
        </w:tc>
      </w:tr>
      <w:tr>
        <w:trPr>
          <w:trHeight w:val="300" w:hRule="atLeast"/>
          <w:jc w:val="center"/>
        </w:trPr>
        <w:tc>
          <w:tcPr>
            <w:tcW w:type="dxa" w:w="3960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 </w:t>
            </w:r>
          </w:p>
        </w:tc>
        <w:tc>
          <w:tcPr>
            <w:tcW w:type="dxa" w:w="35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</w:p>
        </w:tc>
      </w:tr>
      <w:tr>
        <w:trPr>
          <w:trHeight w:val="300" w:hRule="atLeast"/>
          <w:jc w:val="center"/>
        </w:trPr>
        <w:tc>
          <w:tcPr>
            <w:tcW w:type="dxa" w:w="3960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 </w:t>
            </w:r>
          </w:p>
        </w:tc>
        <w:tc>
          <w:tcPr>
            <w:tcW w:type="dxa" w:w="35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</w:p>
        </w:tc>
      </w:tr>
      <w:tr>
        <w:trPr>
          <w:trHeight w:val="300" w:hRule="atLeast"/>
          <w:jc w:val="center"/>
        </w:trPr>
        <w:tc>
          <w:tcPr>
            <w:tcW w:type="dxa" w:w="3960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2"/>
              </w:rPr>
              <w:t xml:space="preserve">Q-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2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Apr-Jun (Year______   )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 </w:t>
            </w:r>
          </w:p>
        </w:tc>
        <w:tc>
          <w:tcPr>
            <w:tcW w:type="dxa" w:w="35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</w:p>
        </w:tc>
      </w:tr>
      <w:tr>
        <w:trPr>
          <w:trHeight w:val="300" w:hRule="atLeast"/>
          <w:jc w:val="center"/>
        </w:trPr>
        <w:tc>
          <w:tcPr>
            <w:tcW w:type="dxa" w:w="3960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 </w:t>
            </w:r>
          </w:p>
        </w:tc>
        <w:tc>
          <w:tcPr>
            <w:tcW w:type="dxa" w:w="35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</w:p>
        </w:tc>
      </w:tr>
      <w:tr>
        <w:trPr>
          <w:trHeight w:val="300" w:hRule="atLeast"/>
          <w:jc w:val="center"/>
        </w:trPr>
        <w:tc>
          <w:tcPr>
            <w:tcW w:type="dxa" w:w="3960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 </w:t>
            </w:r>
          </w:p>
        </w:tc>
        <w:tc>
          <w:tcPr>
            <w:tcW w:type="dxa" w:w="35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</w:p>
        </w:tc>
      </w:tr>
      <w:tr>
        <w:trPr>
          <w:trHeight w:val="300" w:hRule="atLeast"/>
          <w:jc w:val="center"/>
        </w:trPr>
        <w:tc>
          <w:tcPr>
            <w:tcW w:type="dxa" w:w="3960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 </w:t>
            </w:r>
          </w:p>
        </w:tc>
        <w:tc>
          <w:tcPr>
            <w:tcW w:type="dxa" w:w="35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</w:p>
        </w:tc>
      </w:tr>
      <w:tr>
        <w:trPr>
          <w:trHeight w:val="390" w:hRule="atLeast"/>
          <w:jc w:val="center"/>
        </w:trPr>
        <w:tc>
          <w:tcPr>
            <w:tcW w:type="dxa" w:w="9810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fill="auto" w:color="auto" w:val="clear"/>
            <w:noWrap/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Coding Table:-  Name and code of Manufacturing Industrial Groups</w:t>
            </w:r>
          </w:p>
        </w:tc>
      </w:tr>
      <w:tr>
        <w:trPr>
          <w:trHeight w:val="314" w:hRule="atLeast"/>
          <w:jc w:val="center"/>
        </w:trPr>
        <w:tc>
          <w:tcPr>
            <w:tcW w:type="dxa" w:w="396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Name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Code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(PSIC-2010)</w:t>
            </w:r>
          </w:p>
        </w:tc>
        <w:tc>
          <w:tcPr>
            <w:tcW w:type="dxa" w:w="35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Name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Code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(PSIC-2010)</w:t>
            </w:r>
          </w:p>
        </w:tc>
      </w:tr>
      <w:tr>
        <w:trPr>
          <w:trHeight w:val="215" w:hRule="atLeast"/>
          <w:jc w:val="center"/>
        </w:trPr>
        <w:tc>
          <w:tcPr>
            <w:tcW w:type="dxa" w:w="396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Food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101</w:t>
            </w:r>
          </w:p>
        </w:tc>
        <w:tc>
          <w:tcPr>
            <w:tcW w:type="dxa" w:w="35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Petroleum  Refining 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192</w:t>
            </w:r>
          </w:p>
        </w:tc>
      </w:tr>
      <w:tr>
        <w:trPr>
          <w:trHeight w:val="431" w:hRule="atLeast"/>
          <w:jc w:val="center"/>
        </w:trPr>
        <w:tc>
          <w:tcPr>
            <w:tcW w:type="dxa" w:w="396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Beverages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110</w:t>
            </w:r>
          </w:p>
        </w:tc>
        <w:tc>
          <w:tcPr>
            <w:tcW w:type="dxa" w:w="35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Miscellaneous  products of petroleum  &amp; coal 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192</w:t>
            </w:r>
          </w:p>
        </w:tc>
      </w:tr>
      <w:tr>
        <w:trPr>
          <w:trHeight w:val="305" w:hRule="atLeast"/>
          <w:jc w:val="center"/>
        </w:trPr>
        <w:tc>
          <w:tcPr>
            <w:tcW w:type="dxa" w:w="396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Tobacco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120</w:t>
            </w:r>
          </w:p>
        </w:tc>
        <w:tc>
          <w:tcPr>
            <w:tcW w:type="dxa" w:w="35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Rubber Products  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221</w:t>
            </w:r>
          </w:p>
        </w:tc>
      </w:tr>
      <w:tr>
        <w:trPr>
          <w:trHeight w:val="206" w:hRule="atLeast"/>
          <w:jc w:val="center"/>
        </w:trPr>
        <w:tc>
          <w:tcPr>
            <w:tcW w:type="dxa" w:w="396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Textile 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131</w:t>
            </w:r>
          </w:p>
        </w:tc>
        <w:tc>
          <w:tcPr>
            <w:tcW w:type="dxa" w:w="35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Plastic  Products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n.e.c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222</w:t>
            </w:r>
          </w:p>
        </w:tc>
      </w:tr>
      <w:tr>
        <w:trPr>
          <w:trHeight w:val="242" w:hRule="atLeast"/>
          <w:jc w:val="center"/>
        </w:trPr>
        <w:tc>
          <w:tcPr>
            <w:tcW w:type="dxa" w:w="396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Wearing apparel except footwear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141</w:t>
            </w:r>
          </w:p>
        </w:tc>
        <w:tc>
          <w:tcPr>
            <w:tcW w:type="dxa" w:w="35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Pottery, china &amp; earthenware 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239</w:t>
            </w:r>
          </w:p>
        </w:tc>
      </w:tr>
      <w:tr>
        <w:trPr>
          <w:trHeight w:val="485" w:hRule="atLeast"/>
          <w:jc w:val="center"/>
        </w:trPr>
        <w:tc>
          <w:tcPr>
            <w:tcW w:type="dxa" w:w="396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Leather and leather products, leather substitutes and fur except footwear/wearing apparel 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151</w:t>
            </w:r>
          </w:p>
        </w:tc>
        <w:tc>
          <w:tcPr>
            <w:tcW w:type="dxa" w:w="35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Glass and glass products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231</w:t>
            </w:r>
          </w:p>
        </w:tc>
      </w:tr>
      <w:tr>
        <w:trPr>
          <w:trHeight w:val="431" w:hRule="atLeast"/>
          <w:jc w:val="center"/>
        </w:trPr>
        <w:tc>
          <w:tcPr>
            <w:tcW w:type="dxa" w:w="396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Footwear except vulcanizes or molded rubber of plastic footwear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152</w:t>
            </w:r>
          </w:p>
        </w:tc>
        <w:tc>
          <w:tcPr>
            <w:tcW w:type="dxa" w:w="35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Non-metallic mineral products/  cement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239</w:t>
            </w:r>
          </w:p>
        </w:tc>
      </w:tr>
      <w:tr>
        <w:trPr>
          <w:trHeight w:val="260" w:hRule="atLeast"/>
          <w:jc w:val="center"/>
        </w:trPr>
        <w:tc>
          <w:tcPr>
            <w:tcW w:type="dxa" w:w="396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Ginning pressing and balling of fibers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FFFFFF" w:color="000000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013</w:t>
            </w:r>
          </w:p>
        </w:tc>
        <w:tc>
          <w:tcPr>
            <w:tcW w:type="dxa" w:w="35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Iron &amp; steel basic industries 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241</w:t>
            </w:r>
          </w:p>
        </w:tc>
      </w:tr>
      <w:tr>
        <w:trPr>
          <w:trHeight w:val="431" w:hRule="atLeast"/>
          <w:jc w:val="center"/>
        </w:trPr>
        <w:tc>
          <w:tcPr>
            <w:tcW w:type="dxa" w:w="396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Wood ,wood and cark products except furniture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162</w:t>
            </w:r>
          </w:p>
        </w:tc>
        <w:tc>
          <w:tcPr>
            <w:tcW w:type="dxa" w:w="35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Non- ferrous metal (basic)  industries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242</w:t>
            </w:r>
          </w:p>
        </w:tc>
      </w:tr>
      <w:tr>
        <w:trPr>
          <w:trHeight w:val="350" w:hRule="atLeast"/>
          <w:jc w:val="center"/>
        </w:trPr>
        <w:tc>
          <w:tcPr>
            <w:tcW w:type="dxa" w:w="396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Furniture and fixture except metal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310</w:t>
            </w:r>
          </w:p>
        </w:tc>
        <w:tc>
          <w:tcPr>
            <w:tcW w:type="dxa" w:w="35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Fabricated metal  products except machinery and  equipment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259</w:t>
            </w:r>
          </w:p>
        </w:tc>
      </w:tr>
      <w:tr>
        <w:trPr>
          <w:trHeight w:val="287" w:hRule="atLeast"/>
          <w:jc w:val="center"/>
        </w:trPr>
        <w:tc>
          <w:tcPr>
            <w:tcW w:type="dxa" w:w="396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Paper and paper products  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170</w:t>
            </w:r>
          </w:p>
        </w:tc>
        <w:tc>
          <w:tcPr>
            <w:tcW w:type="dxa" w:w="35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Machinery except electric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281</w:t>
            </w:r>
          </w:p>
        </w:tc>
      </w:tr>
      <w:tr>
        <w:trPr>
          <w:trHeight w:val="350" w:hRule="atLeast"/>
          <w:jc w:val="center"/>
        </w:trPr>
        <w:tc>
          <w:tcPr>
            <w:tcW w:type="dxa" w:w="396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Printing, publishing &amp; allied   industries 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181</w:t>
            </w:r>
          </w:p>
        </w:tc>
        <w:tc>
          <w:tcPr>
            <w:tcW w:type="dxa" w:w="35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Electric machinery , apparatus, appliances and supplies 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271</w:t>
            </w:r>
          </w:p>
        </w:tc>
      </w:tr>
      <w:tr>
        <w:trPr>
          <w:trHeight w:val="360" w:hRule="atLeast"/>
          <w:jc w:val="center"/>
        </w:trPr>
        <w:tc>
          <w:tcPr>
            <w:tcW w:type="dxa" w:w="396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Drugs and pharmaceutical 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210</w:t>
            </w:r>
          </w:p>
        </w:tc>
        <w:tc>
          <w:tcPr>
            <w:tcW w:type="dxa" w:w="35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Transport  equipment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301</w:t>
            </w:r>
          </w:p>
        </w:tc>
      </w:tr>
      <w:tr>
        <w:trPr>
          <w:trHeight w:val="260" w:hRule="atLeast"/>
          <w:jc w:val="center"/>
        </w:trPr>
        <w:tc>
          <w:tcPr>
            <w:tcW w:type="dxa" w:w="396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Industrial  Chemical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202</w:t>
            </w:r>
          </w:p>
        </w:tc>
        <w:tc>
          <w:tcPr>
            <w:tcW w:type="dxa" w:w="35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Scientific, Precision and measuring  instruments and  equipment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266</w:t>
            </w:r>
          </w:p>
        </w:tc>
      </w:tr>
      <w:tr>
        <w:trPr>
          <w:trHeight w:val="341" w:hRule="atLeast"/>
          <w:jc w:val="center"/>
        </w:trPr>
        <w:tc>
          <w:tcPr>
            <w:tcW w:type="dxa" w:w="396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Other  chemical  products / fertilizer 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202</w:t>
            </w:r>
          </w:p>
        </w:tc>
        <w:tc>
          <w:tcPr>
            <w:tcW w:type="dxa" w:w="35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Other Manufacturing  Industries</w:t>
            </w:r>
          </w:p>
        </w:tc>
        <w:tc>
          <w:tcPr>
            <w:tcW w:type="dxa" w:w="117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321</w:t>
            </w:r>
          </w:p>
        </w:tc>
      </w:tr>
      <w:tr>
        <w:trPr>
          <w:trHeight w:val="300" w:hRule="atLeast"/>
          <w:jc w:val="center"/>
        </w:trPr>
        <w:tc>
          <w:tcPr>
            <w:tcW w:type="dxa" w:w="5130"/>
            <w:gridSpan w:val="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Code may be selected from the code table.</w:t>
            </w:r>
          </w:p>
        </w:tc>
        <w:tc>
          <w:tcPr>
            <w:tcW w:type="dxa" w:w="351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type="dxa" w:w="117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05" w:hRule="atLeast"/>
          <w:jc w:val="center"/>
        </w:trPr>
        <w:tc>
          <w:tcPr>
            <w:tcW w:type="dxa" w:w="5130"/>
            <w:gridSpan w:val="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Name and Position:_________________________</w:t>
            </w:r>
          </w:p>
        </w:tc>
        <w:tc>
          <w:tcPr>
            <w:tcW w:type="dxa" w:w="4680"/>
            <w:gridSpan w:val="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Phone:_________________</w:t>
            </w:r>
          </w:p>
        </w:tc>
      </w:tr>
      <w:tr>
        <w:trPr>
          <w:trHeight w:val="300" w:hRule="atLeast"/>
          <w:jc w:val="center"/>
        </w:trPr>
        <w:tc>
          <w:tcPr>
            <w:tcW w:type="dxa" w:w="5130"/>
            <w:gridSpan w:val="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Signature &amp; Stamp:________________________</w:t>
            </w:r>
          </w:p>
        </w:tc>
        <w:tc>
          <w:tcPr>
            <w:tcW w:type="dxa" w:w="4680"/>
            <w:gridSpan w:val="2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Email:_________________</w:t>
            </w:r>
          </w:p>
        </w:tc>
      </w:tr>
    </w:tbl>
    <w:p>
      <w:pPr>
        <w: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>
      <w:pPr>
        <w: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GUIDANCE/INSTRUCTIONS</w:t>
      </w:r>
    </w:p>
    <w:p>
      <w:pPr>
        <w:pStyle w:val="ListParagraph"/>
        <w:numPr>
          <w:ilvl w:val="0"/>
          <w:numId w:val="1"/>
        </w:numPr>
        <w: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MANUFACTURING INDUSTRIES</w:t>
      </w:r>
    </w:p>
    <w:p>
      <w:pPr>
        <w:spacing w:line="360" w:lineRule="auto"/>
        <w:ind w:left="810" w:right="72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Manufacturing is the creation or production of goods with the help of equipment, labor, machines, tools, and chemical or biological processing or formulation. It is </w:t>
      </w:r>
      <w:r>
        <w:rPr>
          <w:rFonts w:ascii="Times New Roman" w:hAnsi="Times New Roman" w:cs="Times New Roman"/>
          <w:sz w:val="24"/>
          <w:szCs w:val="24"/>
        </w:rPr>
        <w:t xml:space="preserve">comprised of both formal and informal activities. However, this questionnaire pertain only to formal manufacturing activities carried-ou</w:t>
      </w:r>
      <w:r>
        <w:rPr>
          <w:rFonts w:ascii="Times New Roman" w:hAnsi="Times New Roman" w:cs="Times New Roman"/>
          <w:sz w:val="24"/>
          <w:szCs w:val="24"/>
        </w:rPr>
        <w:t xml:space="preserve">t by Large Scale Manufacturing e</w:t>
      </w:r>
      <w:r>
        <w:rPr>
          <w:rFonts w:ascii="Times New Roman" w:hAnsi="Times New Roman" w:cs="Times New Roman"/>
          <w:sz w:val="24"/>
          <w:szCs w:val="24"/>
        </w:rPr>
        <w:t xml:space="preserve">stablishments having 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 or more employees.</w:t>
      </w:r>
    </w:p>
    <w:p>
      <w:pPr>
        <w:pStyle w:val="ListParagraph"/>
        <w:numPr>
          <w:ilvl w:val="0"/>
          <w:numId w:val="1"/>
        </w:numPr>
        <w: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NEW CAPACITY EXPANSION / UNDERCONSTRUCTION</w:t>
      </w:r>
    </w:p>
    <w:p>
      <w:pPr>
        <w:pStyle w:val="ListParagraph"/>
        <w: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>
      <w:pPr>
        <w:pStyle w:val="ListParagraph"/>
        <w:numPr>
          <w:ilvl w:val="0"/>
          <w:numId w:val="2"/>
        </w:numPr>
        <w:spacing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Financing information is required</w:t>
      </w:r>
      <w:r>
        <w:rPr>
          <w:rFonts w:ascii="Times New Roman" w:hAnsi="Times New Roman" w:cs="Times New Roman"/>
          <w:sz w:val="24"/>
          <w:szCs w:val="24"/>
        </w:rPr>
        <w:t xml:space="preserve"> only</w:t>
      </w:r>
      <w:r>
        <w:rPr>
          <w:rFonts w:ascii="Times New Roman" w:hAnsi="Times New Roman" w:cs="Times New Roman"/>
          <w:sz w:val="24"/>
          <w:szCs w:val="24"/>
        </w:rPr>
        <w:t xml:space="preserve"> for under construc</w:t>
      </w:r>
      <w:r>
        <w:rPr>
          <w:rFonts w:ascii="Times New Roman" w:hAnsi="Times New Roman" w:cs="Times New Roman"/>
          <w:sz w:val="24"/>
          <w:szCs w:val="24"/>
        </w:rPr>
        <w:t xml:space="preserve">tion Large Scale Manufacturing e</w:t>
      </w:r>
      <w:r>
        <w:rPr>
          <w:rFonts w:ascii="Times New Roman" w:hAnsi="Times New Roman" w:cs="Times New Roman"/>
          <w:sz w:val="24"/>
          <w:szCs w:val="24"/>
        </w:rPr>
        <w:t xml:space="preserve">stablishments </w:t>
      </w:r>
      <w:r>
        <w:rPr>
          <w:rFonts w:ascii="Times New Roman" w:hAnsi="Times New Roman" w:cs="Times New Roman"/>
          <w:sz w:val="24"/>
          <w:szCs w:val="24"/>
        </w:rPr>
        <w:t xml:space="preserve">with objects </w:t>
      </w:r>
      <w:r>
        <w:rPr>
          <w:rFonts w:ascii="Times New Roman" w:hAnsi="Times New Roman" w:cs="Times New Roman"/>
          <w:sz w:val="24"/>
          <w:szCs w:val="24"/>
        </w:rPr>
        <w:t xml:space="preserve">to expand the production capacity. </w:t>
      </w:r>
    </w:p>
    <w:p>
      <w:pPr>
        <w:pStyle w:val="ListParagraph"/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ListParagraph"/>
        <w:numPr>
          <w:ilvl w:val="0"/>
          <w:numId w:val="3"/>
        </w:numPr>
        <w:spacing w:line="360" w:lineRule="auto"/>
        <w:ind w:left="81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</w:t>
      </w:r>
      <w:r>
        <w:rPr>
          <w:rFonts w:ascii="Times New Roman" w:hAnsi="Times New Roman" w:cs="Times New Roman"/>
          <w:sz w:val="24"/>
          <w:szCs w:val="24"/>
        </w:rPr>
        <w:t xml:space="preserve">rovide the data only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 xml:space="preserve">the said p</w:t>
      </w:r>
      <w:r>
        <w:rPr>
          <w:rFonts w:ascii="Times New Roman" w:hAnsi="Times New Roman" w:cs="Times New Roman"/>
          <w:sz w:val="24"/>
          <w:szCs w:val="24"/>
        </w:rPr>
        <w:t xml:space="preserve">eriod</w:t>
      </w:r>
      <w:r>
        <w:rPr>
          <w:rFonts w:ascii="Times New Roman" w:hAnsi="Times New Roman" w:cs="Times New Roman"/>
          <w:sz w:val="24"/>
          <w:szCs w:val="24"/>
        </w:rPr>
        <w:t xml:space="preserve"> in the questionnaire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>
      <w:pPr>
        <w:pStyle w:val="ListParagraph"/>
        <w:numPr>
          <w:ilvl w:val="0"/>
          <w:numId w:val="3"/>
        </w:numPr>
        <w:spacing w:line="360" w:lineRule="auto"/>
        <w:ind w:firstLine="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</w:t>
      </w:r>
      <w:r>
        <w:rPr>
          <w:rFonts w:ascii="Times New Roman" w:hAnsi="Times New Roman" w:cs="Times New Roman"/>
          <w:sz w:val="24"/>
          <w:szCs w:val="24"/>
        </w:rPr>
        <w:t xml:space="preserve">rovided data should be in thousand </w:t>
      </w:r>
      <w:r>
        <w:rPr>
          <w:rFonts w:ascii="Times New Roman" w:hAnsi="Times New Roman" w:cs="Times New Roman"/>
          <w:b/>
          <w:sz w:val="24"/>
          <w:szCs w:val="24"/>
        </w:rPr>
        <w:t xml:space="preserve">“000”</w:t>
      </w:r>
      <w:r>
        <w:rPr>
          <w:rFonts w:ascii="Times New Roman" w:hAnsi="Times New Roman" w:cs="Times New Roman"/>
          <w:sz w:val="24"/>
          <w:szCs w:val="24"/>
        </w:rPr>
        <w:t xml:space="preserve"> rupees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>
      <w:pPr>
        <w:pStyle w:val="ListParagraph"/>
        <w:numPr>
          <w:ilvl w:val="0"/>
          <w:numId w:val="3"/>
        </w:numPr>
        <w:spacing w:line="360" w:lineRule="auto"/>
        <w:ind w:firstLine="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total figure of every quarter should be provided separately.</w:t>
      </w:r>
    </w:p>
    <w:p>
      <w:pPr>
        <w:pStyle w:val="ListParagraph"/>
        <w:numPr>
          <w:ilvl w:val="0"/>
          <w:numId w:val="3"/>
        </w:numPr>
        <w:spacing w:line="360" w:lineRule="auto"/>
        <w:ind w:left="1440" w:right="720" w:hanging="27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questionnaire required the amount disbursed in the </w:t>
      </w:r>
      <w:r>
        <w:rPr>
          <w:rFonts w:ascii="Times New Roman" w:hAnsi="Times New Roman" w:cs="Times New Roman"/>
          <w:sz w:val="24"/>
          <w:szCs w:val="24"/>
        </w:rPr>
        <w:t xml:space="preserve">said period to L</w:t>
      </w:r>
      <w:r>
        <w:rPr>
          <w:rFonts w:ascii="Times New Roman" w:hAnsi="Times New Roman" w:cs="Times New Roman"/>
          <w:sz w:val="24"/>
          <w:szCs w:val="24"/>
        </w:rPr>
        <w:t xml:space="preserve">arge Scale Manufacturing Industries only.</w:t>
      </w:r>
    </w:p>
    <w:p>
      <w:pPr>
        <w:pStyle w:val="ListParagraph"/>
        <w:numPr>
          <w:ilvl w:val="0"/>
          <w:numId w:val="3"/>
        </w:numPr>
        <w:spacing w:line="360" w:lineRule="auto"/>
        <w:ind w:left="1440" w:right="720" w:hanging="27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mention</w:t>
      </w:r>
      <w:r>
        <w:rPr>
          <w:rFonts w:ascii="Times New Roman" w:hAnsi="Times New Roman" w:cs="Times New Roman"/>
          <w:sz w:val="24"/>
          <w:szCs w:val="24"/>
        </w:rPr>
        <w:t xml:space="preserve"> the g</w:t>
      </w:r>
      <w:r>
        <w:rPr>
          <w:rFonts w:ascii="Times New Roman" w:hAnsi="Times New Roman" w:cs="Times New Roman"/>
          <w:sz w:val="24"/>
          <w:szCs w:val="24"/>
        </w:rPr>
        <w:t xml:space="preserve">iven P</w:t>
      </w:r>
      <w:r>
        <w:rPr>
          <w:rFonts w:ascii="Times New Roman" w:hAnsi="Times New Roman" w:cs="Times New Roman"/>
          <w:sz w:val="24"/>
          <w:szCs w:val="24"/>
        </w:rPr>
        <w:t xml:space="preserve">SIC c</w:t>
      </w:r>
      <w:r>
        <w:rPr>
          <w:rFonts w:ascii="Times New Roman" w:hAnsi="Times New Roman" w:cs="Times New Roman"/>
          <w:sz w:val="24"/>
          <w:szCs w:val="24"/>
        </w:rPr>
        <w:t xml:space="preserve">ode for the </w:t>
      </w:r>
      <w:r>
        <w:rPr>
          <w:rFonts w:ascii="Times New Roman" w:hAnsi="Times New Roman" w:cs="Times New Roman"/>
          <w:sz w:val="24"/>
          <w:szCs w:val="24"/>
        </w:rPr>
        <w:t xml:space="preserve">a</w:t>
      </w:r>
      <w:r>
        <w:rPr>
          <w:rFonts w:ascii="Times New Roman" w:hAnsi="Times New Roman" w:cs="Times New Roman"/>
          <w:sz w:val="24"/>
          <w:szCs w:val="24"/>
        </w:rPr>
        <w:t xml:space="preserve">mount </w:t>
      </w:r>
      <w:r>
        <w:rPr>
          <w:rFonts w:ascii="Times New Roman" w:hAnsi="Times New Roman" w:cs="Times New Roman"/>
          <w:sz w:val="24"/>
          <w:szCs w:val="24"/>
        </w:rPr>
        <w:t xml:space="preserve">disbursed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 xml:space="preserve">o</w:t>
      </w:r>
      <w:r>
        <w:rPr>
          <w:rFonts w:ascii="Times New Roman" w:hAnsi="Times New Roman" w:cs="Times New Roman"/>
          <w:sz w:val="24"/>
          <w:szCs w:val="24"/>
        </w:rPr>
        <w:t xml:space="preserve"> manuf</w:t>
      </w:r>
      <w:r>
        <w:rPr>
          <w:rFonts w:ascii="Times New Roman" w:hAnsi="Times New Roman" w:cs="Times New Roman"/>
          <w:sz w:val="24"/>
          <w:szCs w:val="24"/>
        </w:rPr>
        <w:t xml:space="preserve">a</w:t>
      </w:r>
      <w:r>
        <w:rPr>
          <w:rFonts w:ascii="Times New Roman" w:hAnsi="Times New Roman" w:cs="Times New Roman"/>
          <w:sz w:val="24"/>
          <w:szCs w:val="24"/>
        </w:rPr>
        <w:t xml:space="preserve">ct</w:t>
      </w:r>
      <w:r>
        <w:rPr>
          <w:rFonts w:ascii="Times New Roman" w:hAnsi="Times New Roman" w:cs="Times New Roman"/>
          <w:sz w:val="24"/>
          <w:szCs w:val="24"/>
        </w:rPr>
        <w:t xml:space="preserve">uring</w:t>
      </w:r>
      <w:r>
        <w:rPr>
          <w:rFonts w:ascii="Times New Roman" w:hAnsi="Times New Roman" w:cs="Times New Roman"/>
          <w:sz w:val="24"/>
          <w:szCs w:val="24"/>
        </w:rPr>
        <w:t xml:space="preserve"> Industrial groups if possible.</w:t>
      </w:r>
    </w:p>
    <w:p>
      <w:pPr>
        <w:pStyle w:val="ListParagraph"/>
        <w:numPr>
          <w:ilvl w:val="0"/>
          <w:numId w:val="3"/>
        </w:numPr>
        <w:tabs>
          <w:tab w:val="left" w:pos="10080"/>
        </w:tabs>
        <w:spacing w:line="360" w:lineRule="auto"/>
        <w:ind w:left="1440" w:right="720" w:hanging="27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disbursement made for </w:t>
      </w:r>
      <w:r>
        <w:rPr>
          <w:rFonts w:ascii="Times New Roman" w:hAnsi="Times New Roman" w:cs="Times New Roman"/>
          <w:sz w:val="24"/>
          <w:szCs w:val="24"/>
        </w:rPr>
        <w:t xml:space="preserve">B</w:t>
      </w:r>
      <w:r>
        <w:rPr>
          <w:rFonts w:ascii="Times New Roman" w:hAnsi="Times New Roman" w:cs="Times New Roman"/>
          <w:sz w:val="24"/>
          <w:szCs w:val="24"/>
        </w:rPr>
        <w:t xml:space="preserve">alancing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</w:t>
      </w:r>
      <w:r>
        <w:rPr>
          <w:rFonts w:ascii="Times New Roman" w:hAnsi="Times New Roman" w:cs="Times New Roman"/>
          <w:sz w:val="24"/>
          <w:szCs w:val="24"/>
        </w:rPr>
        <w:t xml:space="preserve">odernization and </w:t>
      </w:r>
      <w:r>
        <w:rPr>
          <w:rFonts w:ascii="Times New Roman" w:hAnsi="Times New Roman" w:cs="Times New Roman"/>
          <w:sz w:val="24"/>
          <w:szCs w:val="24"/>
        </w:rPr>
        <w:t xml:space="preserve">R</w:t>
      </w:r>
      <w:r>
        <w:rPr>
          <w:rFonts w:ascii="Times New Roman" w:hAnsi="Times New Roman" w:cs="Times New Roman"/>
          <w:sz w:val="24"/>
          <w:szCs w:val="24"/>
        </w:rPr>
        <w:t xml:space="preserve">eplacement</w:t>
      </w:r>
      <w:r>
        <w:rPr>
          <w:rFonts w:ascii="Times New Roman" w:hAnsi="Times New Roman" w:cs="Times New Roman"/>
          <w:sz w:val="24"/>
          <w:szCs w:val="24"/>
        </w:rPr>
        <w:t xml:space="preserve"> (BMR)</w:t>
      </w:r>
      <w:r>
        <w:rPr>
          <w:rFonts w:ascii="Times New Roman" w:hAnsi="Times New Roman" w:cs="Times New Roman"/>
          <w:sz w:val="24"/>
          <w:szCs w:val="24"/>
        </w:rPr>
        <w:t xml:space="preserve"> of equipment to already</w:t>
      </w:r>
      <w:r>
        <w:rPr>
          <w:rFonts w:ascii="Times New Roman" w:hAnsi="Times New Roman" w:cs="Times New Roman"/>
          <w:sz w:val="24"/>
          <w:szCs w:val="24"/>
        </w:rPr>
        <w:t xml:space="preserve"> existing</w:t>
      </w:r>
      <w:r>
        <w:rPr>
          <w:rFonts w:ascii="Times New Roman" w:hAnsi="Times New Roman" w:cs="Times New Roman"/>
          <w:sz w:val="24"/>
          <w:szCs w:val="24"/>
        </w:rPr>
        <w:t xml:space="preserve"> in production units is not required here.</w:t>
      </w:r>
    </w:p>
    <w:p>
      <w:pPr>
        <w:pStyle w:val="ListParagraph"/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ListParagraph"/>
        <w:spacing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Cooperation is highly valuable &amp; appreciable with great thanks.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sectPr>
      <w:headerReference w:type="first" r:id="rId1"/>
      <w:headerReference w:type="even" r:id="rId2"/>
      <w:headerReference w:type="default" r:id="rId3"/>
      <w:type w:val="nextPage"/>
      <w:pgSz w:w="11907" w:h="16839"/>
      <w:pgMar w:top="540" w:right="720" w:bottom="360" w:left="720" w:header="720" w:footer="720" w:gutter="0"/>
      <w:pgBorders/>
      <w:pgNumType w:fmt="decimal"/>
      <w:cols w:num="1" w:equalWidth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charset w:val="2"/>
    <w:family w:val="auto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Header"/>
    </w:pPr>
    <w:r>
      <w:pict>
        <v:shape id="PowerPlusWaterMarkObject313f103def-8523-4718-b3d6-5a0235e3d56b" type="#_x0000_t136" o:allowincell="f" style="position:absolute;margin-left:0pt;margin-top:0pt;width:360.18pt;height:62.42pt;rotation:315;mso-position-horizontal-relative:margin;mso-position-vertical-relative:margin;mso-position-horizontal:center;mso-position-vertical:center" fillcolor="#808080" stroked="f">
          <v:fill opacity=".5"/>
          <v:textpath style="font-family:&quot;Helvetica&quot;;font-size:18pt" string="Syed Jawad Ali  Shah&#13;&#10; CSO-III (National Accounts)&#13;&#10; Thursday, 04 December, 2025, 11:15:23 AM"/>
        </v:shape>
      </w:pict>
    </w: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Header"/>
    </w:pPr>
    <w:r>
      <w:pict>
        <v:shape id="PowerPlusWaterMarkObject31d3d067ea-da28-4845-a02c-2efd5f3c3b44" type="#_x0000_t136" o:allowincell="f" style="position:absolute;margin-left:0pt;margin-top:0pt;width:360.18pt;height:62.42pt;rotation:315;mso-position-horizontal-relative:margin;mso-position-vertical-relative:margin;mso-position-horizontal:center;mso-position-vertical:center" fillcolor="#808080" stroked="f">
          <v:fill opacity=".5"/>
          <v:textpath style="font-family:&quot;Helvetica&quot;;font-size:18pt" string="Syed Jawad Ali  Shah&#13;&#10; CSO-III (National Accounts)&#13;&#10; Thursday, 04 December, 2025, 11:15:23 AM"/>
        </v:shape>
      </w:pict>
    </w: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Header"/>
    </w:pPr>
    <w:r>
      <w:pict>
        <v:shape id="PowerPlusWaterMarkObject31885b10e9-eaab-4110-9942-6185d91954ba" type="#_x0000_t136" o:allowincell="f" style="position:absolute;margin-left:0pt;margin-top:0pt;width:360.18pt;height:62.42pt;rotation:315;mso-position-horizontal-relative:margin;mso-position-vertical-relative:margin;mso-position-horizontal:center;mso-position-vertical:center" fillcolor="#808080" stroked="f">
          <v:fill opacity=".5"/>
          <v:textpath style="font-family:&quot;Helvetica&quot;;font-size:18pt" string="Syed Jawad Ali  Shah&#13;&#10; CSO-III (National Accounts)&#13;&#10; Thursday, 04 December, 2025, 11:15:23 AM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07E12"/>
    <w:lvl w:ilvl="0">
      <w:start w:val="1"/>
      <w:numFmt w:val="decimal"/>
      <w:suff w:val="tab"/>
      <w:lvlText w:val="%1."/>
      <w:pPr>
        <w:spacing/>
        <w:ind w:left="1080" w:hanging="360"/>
      </w:pPr>
      <w:rPr/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abstractNum w:abstractNumId="1">
    <w:nsid w:val="2B267C33"/>
    <w:lvl w:ilvl="0">
      <w:start w:val="1"/>
      <w:numFmt w:val="bullet"/>
      <w:suff w:val="tab"/>
      <w:lvlText w:val=""/>
      <w:pPr>
        <w:spacing/>
        <w:ind w:left="1440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200" w:hanging="360"/>
      </w:pPr>
      <w:rPr>
        <w:rFonts w:ascii="Wingdings" w:hAnsi="Wingdings" w:hint="default"/>
      </w:rPr>
    </w:lvl>
  </w:abstractNum>
  <w:abstractNum w:abstractNumId="2">
    <w:nsid w:val="70E12BAD"/>
    <w:lvl w:ilvl="0">
      <w:start w:val="1"/>
      <w:numFmt w:val="lowerRoman"/>
      <w:suff w:val="tab"/>
      <w:lvlText w:val="%1."/>
      <w:lvlJc w:val="right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20"/>
  <w:proofState w:spelling="clean" w:grammar="clean"/>
  <w:defaultTabStop w:val="864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qFormat/>
    <w:pPr>
      <w:spacing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header" Target="header2.xml" /><Relationship Id="rId1" Type="http://schemas.openxmlformats.org/officeDocument/2006/relationships/header" Target="header1.xml" /><Relationship Id="rId3" Type="http://schemas.openxmlformats.org/officeDocument/2006/relationships/header" Target="header3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91B2D-E56B-43EC-96B6-122BF363F1B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105</TotalTime>
  <Pages>2</Pages>
  <Words>508</Words>
  <Characters>2900</Characters>
  <Application>Microsoft Office Word</Application>
  <DocSecurity>0</DocSecurity>
  <Lines>24</Lines>
  <Paragraphs>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Arshad Mahmood (Statistical Officer)</dc:creator>
  <cp:lastModifiedBy>Arshad Mahmood (Statistical Officer)</cp:lastModifiedBy>
  <cp:lastPrinted>2024-08-30T09:45:00Z</cp:lastPrinted>
  <cp:revision>17</cp:revision>
  <dcterms:created xsi:type="dcterms:W3CDTF">2023-06-26T07:44:00Z</dcterms:created>
  <dcterms:modified xsi:type="dcterms:W3CDTF">2025-06-30T05:49:00Z</dcterms:modified>
</cp:coreProperties>
</file>